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F557" w14:textId="77777777" w:rsidR="004B0A84" w:rsidRPr="004F6DB8" w:rsidRDefault="00B615AA" w:rsidP="00FD3917">
      <w:pPr>
        <w:pStyle w:val="Textodebloque"/>
        <w:spacing w:before="120" w:after="120"/>
        <w:ind w:left="0" w:right="-81"/>
        <w:jc w:val="center"/>
        <w:rPr>
          <w:b w:val="0"/>
          <w:bCs w:val="0"/>
          <w:sz w:val="22"/>
          <w:szCs w:val="22"/>
          <w:u w:val="single"/>
        </w:rPr>
      </w:pPr>
      <w:r w:rsidRPr="004F6DB8">
        <w:rPr>
          <w:sz w:val="22"/>
          <w:szCs w:val="22"/>
          <w:u w:val="single"/>
        </w:rPr>
        <w:t>Form. F-G03 MEMORIA DE JUSTIFICACIÓN DE LOS MONTOS PROGRAMADOS</w:t>
      </w:r>
    </w:p>
    <w:p w14:paraId="7501D4EE" w14:textId="77777777" w:rsidR="004B0A84" w:rsidRPr="004F6DB8" w:rsidRDefault="00B615AA" w:rsidP="00FD3917">
      <w:pPr>
        <w:spacing w:before="120" w:after="120"/>
        <w:jc w:val="center"/>
        <w:rPr>
          <w:sz w:val="22"/>
          <w:szCs w:val="22"/>
        </w:rPr>
      </w:pPr>
      <w:r w:rsidRPr="004F6DB8">
        <w:rPr>
          <w:bCs/>
          <w:sz w:val="22"/>
          <w:szCs w:val="22"/>
        </w:rPr>
        <w:t>(Para todas las Clases de Programas)</w:t>
      </w:r>
    </w:p>
    <w:p w14:paraId="6252B5DB" w14:textId="77777777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sz w:val="22"/>
          <w:szCs w:val="22"/>
        </w:rPr>
      </w:pPr>
      <w:r w:rsidRPr="004F6DB8">
        <w:rPr>
          <w:sz w:val="22"/>
          <w:szCs w:val="22"/>
        </w:rPr>
        <w:t>ENTIDAD:</w:t>
      </w:r>
      <w:r w:rsidRPr="004F6DB8">
        <w:rPr>
          <w:b w:val="0"/>
          <w:sz w:val="22"/>
          <w:szCs w:val="22"/>
        </w:rPr>
        <w:t xml:space="preserve"> Identificar y especificar según código presupuestario al Organismo y/o Entidad del Estado, conforme al Clasificador Presupuestario.</w:t>
      </w:r>
    </w:p>
    <w:p w14:paraId="1A177518" w14:textId="77777777" w:rsidR="004B0A84" w:rsidRPr="004F6DB8" w:rsidRDefault="00B615AA" w:rsidP="00FD3917">
      <w:pPr>
        <w:pStyle w:val="Textodebloque"/>
        <w:spacing w:before="120" w:after="120"/>
        <w:ind w:left="0" w:right="-59"/>
        <w:jc w:val="both"/>
        <w:rPr>
          <w:sz w:val="22"/>
          <w:szCs w:val="22"/>
        </w:rPr>
      </w:pPr>
      <w:r w:rsidRPr="004F6DB8">
        <w:rPr>
          <w:sz w:val="22"/>
          <w:szCs w:val="22"/>
        </w:rPr>
        <w:t>CLASE DE PROGRAMA</w:t>
      </w:r>
      <w:r w:rsidRPr="004F6DB8">
        <w:rPr>
          <w:b w:val="0"/>
          <w:sz w:val="22"/>
          <w:szCs w:val="22"/>
        </w:rPr>
        <w:t>: Equivalente a la Clasificación de Programas de acuerdo a la metodología (Guía de Diseño y Formulación de Programas Presupuestarios – Resolución MH N° 212/2019), CLASE 1 Programa Central, CLASE 2 Programa Sustantivo y CLASE 3 Programa de Partidas no Asignables.</w:t>
      </w:r>
    </w:p>
    <w:p w14:paraId="10F3C7BA" w14:textId="77777777" w:rsidR="004B0A84" w:rsidRPr="004F6DB8" w:rsidRDefault="00B615AA" w:rsidP="00FD3917">
      <w:pPr>
        <w:pStyle w:val="Textodebloque"/>
        <w:spacing w:before="120" w:after="120"/>
        <w:ind w:left="0" w:right="-59"/>
        <w:jc w:val="both"/>
        <w:rPr>
          <w:sz w:val="22"/>
          <w:szCs w:val="22"/>
        </w:rPr>
      </w:pPr>
      <w:r w:rsidRPr="004F6DB8">
        <w:rPr>
          <w:sz w:val="22"/>
          <w:szCs w:val="22"/>
        </w:rPr>
        <w:t>PROGRAMA</w:t>
      </w:r>
      <w:r w:rsidRPr="004F6DB8">
        <w:rPr>
          <w:b w:val="0"/>
          <w:sz w:val="22"/>
          <w:szCs w:val="22"/>
        </w:rPr>
        <w:t>: Identificar por código y  nombre del programa.</w:t>
      </w:r>
    </w:p>
    <w:p w14:paraId="7341F246" w14:textId="77777777" w:rsidR="004B0A84" w:rsidRPr="004F6DB8" w:rsidRDefault="00B615AA" w:rsidP="00FD3917">
      <w:pPr>
        <w:pStyle w:val="Textodebloque"/>
        <w:spacing w:before="120" w:after="120"/>
        <w:ind w:left="0" w:right="-59"/>
        <w:jc w:val="both"/>
        <w:rPr>
          <w:sz w:val="22"/>
          <w:szCs w:val="22"/>
        </w:rPr>
      </w:pPr>
      <w:bookmarkStart w:id="0" w:name="_GoBack2"/>
      <w:bookmarkEnd w:id="0"/>
      <w:r w:rsidRPr="004F6DB8">
        <w:rPr>
          <w:b w:val="0"/>
          <w:sz w:val="22"/>
          <w:szCs w:val="22"/>
        </w:rPr>
        <w:t>En el caso de la CLASE 1 Programa Central, CLASE 3 Programa de Partidas no Asignables, los mismos se mantienen como nombre del Programa.</w:t>
      </w:r>
    </w:p>
    <w:p w14:paraId="43F8611D" w14:textId="77777777" w:rsidR="004B0A84" w:rsidRPr="004F6DB8" w:rsidRDefault="00B615AA" w:rsidP="00FD3917">
      <w:pPr>
        <w:spacing w:before="120" w:after="120"/>
        <w:ind w:right="-59"/>
        <w:jc w:val="both"/>
        <w:rPr>
          <w:sz w:val="22"/>
          <w:szCs w:val="22"/>
        </w:rPr>
      </w:pPr>
      <w:r w:rsidRPr="004F6DB8">
        <w:rPr>
          <w:sz w:val="22"/>
          <w:szCs w:val="22"/>
        </w:rPr>
        <w:t xml:space="preserve">En el caso de la CLASE 2 Programa Sustantivo, el nombre debe ser corto y guardar correspondencia con el resultado intermedio que le dio el origen. </w:t>
      </w:r>
    </w:p>
    <w:p w14:paraId="2AB26EC7" w14:textId="77777777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strike/>
          <w:sz w:val="22"/>
          <w:szCs w:val="22"/>
        </w:rPr>
      </w:pPr>
      <w:r w:rsidRPr="004F6DB8">
        <w:rPr>
          <w:sz w:val="22"/>
          <w:szCs w:val="22"/>
        </w:rPr>
        <w:t>PROYECTO:</w:t>
      </w:r>
      <w:r w:rsidRPr="004F6DB8">
        <w:rPr>
          <w:b w:val="0"/>
          <w:sz w:val="22"/>
          <w:szCs w:val="22"/>
        </w:rPr>
        <w:t xml:space="preserve"> Identificar por código y nombre de las inversiones. </w:t>
      </w:r>
    </w:p>
    <w:p w14:paraId="1A508896" w14:textId="77777777" w:rsidR="004B0A84" w:rsidRPr="004F6DB8" w:rsidRDefault="00B615AA" w:rsidP="00FD3917">
      <w:pPr>
        <w:pStyle w:val="Textodebloque"/>
        <w:spacing w:before="120" w:after="120"/>
        <w:ind w:left="0" w:right="-59"/>
        <w:jc w:val="both"/>
        <w:rPr>
          <w:b w:val="0"/>
          <w:sz w:val="22"/>
          <w:szCs w:val="22"/>
        </w:rPr>
      </w:pPr>
      <w:r w:rsidRPr="004F6DB8">
        <w:rPr>
          <w:sz w:val="22"/>
          <w:szCs w:val="22"/>
        </w:rPr>
        <w:t>ACTIVIDAD</w:t>
      </w:r>
      <w:r w:rsidRPr="004F6DB8">
        <w:rPr>
          <w:b w:val="0"/>
          <w:sz w:val="22"/>
          <w:szCs w:val="22"/>
        </w:rPr>
        <w:t>: Identificar por código y nombre de la actividad.</w:t>
      </w:r>
    </w:p>
    <w:p w14:paraId="1E949020" w14:textId="77777777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bCs w:val="0"/>
          <w:sz w:val="22"/>
          <w:szCs w:val="22"/>
        </w:rPr>
      </w:pPr>
      <w:r w:rsidRPr="004F6DB8">
        <w:rPr>
          <w:sz w:val="22"/>
          <w:szCs w:val="22"/>
        </w:rPr>
        <w:t>OBJETO DE GASTO/SUBGRUPO DE GASTOS</w:t>
      </w:r>
      <w:r w:rsidRPr="004F6DB8">
        <w:rPr>
          <w:b w:val="0"/>
          <w:sz w:val="22"/>
          <w:szCs w:val="22"/>
        </w:rPr>
        <w:t xml:space="preserve">: </w:t>
      </w:r>
      <w:r w:rsidRPr="004F6DB8">
        <w:rPr>
          <w:b w:val="0"/>
          <w:bCs w:val="0"/>
          <w:sz w:val="22"/>
          <w:szCs w:val="22"/>
        </w:rPr>
        <w:t>Código conforme al Clasificador Presupuestario.</w:t>
      </w:r>
    </w:p>
    <w:p w14:paraId="4469E6DA" w14:textId="77777777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sz w:val="22"/>
          <w:szCs w:val="22"/>
        </w:rPr>
      </w:pPr>
      <w:r w:rsidRPr="004F6DB8">
        <w:rPr>
          <w:sz w:val="22"/>
          <w:szCs w:val="22"/>
        </w:rPr>
        <w:t xml:space="preserve">FUENTE DE FINANCIAMIENTO: </w:t>
      </w:r>
      <w:r w:rsidRPr="004F6DB8">
        <w:rPr>
          <w:b w:val="0"/>
          <w:bCs w:val="0"/>
          <w:sz w:val="22"/>
          <w:szCs w:val="22"/>
        </w:rPr>
        <w:t>Código según Clasificador Presupuestario</w:t>
      </w:r>
      <w:r w:rsidRPr="004F6DB8">
        <w:rPr>
          <w:b w:val="0"/>
          <w:sz w:val="22"/>
          <w:szCs w:val="22"/>
        </w:rPr>
        <w:t>.</w:t>
      </w:r>
    </w:p>
    <w:p w14:paraId="2DCA211F" w14:textId="77777777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bCs w:val="0"/>
          <w:sz w:val="22"/>
          <w:szCs w:val="22"/>
        </w:rPr>
      </w:pPr>
      <w:r w:rsidRPr="004F6DB8">
        <w:rPr>
          <w:sz w:val="22"/>
          <w:szCs w:val="22"/>
        </w:rPr>
        <w:t>ORGANISMO FINANCIADOR</w:t>
      </w:r>
      <w:r w:rsidRPr="004F6DB8">
        <w:rPr>
          <w:b w:val="0"/>
          <w:sz w:val="22"/>
          <w:szCs w:val="22"/>
        </w:rPr>
        <w:t xml:space="preserve">: </w:t>
      </w:r>
      <w:r w:rsidRPr="004F6DB8">
        <w:rPr>
          <w:b w:val="0"/>
          <w:bCs w:val="0"/>
          <w:sz w:val="22"/>
          <w:szCs w:val="22"/>
        </w:rPr>
        <w:t>Código según Clasificador Presupuestario.</w:t>
      </w:r>
    </w:p>
    <w:p w14:paraId="3E6579A1" w14:textId="77777777" w:rsidR="004B0A84" w:rsidRPr="004F6DB8" w:rsidRDefault="00B615AA" w:rsidP="00FD3917">
      <w:pPr>
        <w:spacing w:before="120" w:after="120"/>
        <w:jc w:val="both"/>
        <w:rPr>
          <w:sz w:val="22"/>
          <w:szCs w:val="22"/>
        </w:rPr>
      </w:pPr>
      <w:r w:rsidRPr="004F6DB8">
        <w:rPr>
          <w:b/>
          <w:sz w:val="22"/>
          <w:szCs w:val="22"/>
        </w:rPr>
        <w:t>ORGANISMO DESTINATARIO</w:t>
      </w:r>
      <w:r w:rsidRPr="004F6DB8">
        <w:rPr>
          <w:sz w:val="22"/>
          <w:szCs w:val="22"/>
        </w:rPr>
        <w:t>: Código según Clasificador Presupuestario que identificará a la institución que recibe transferencia con recursos del tesoro. Incluirá las otras fuentes de financiamiento según corresponda.</w:t>
      </w:r>
    </w:p>
    <w:p w14:paraId="55F7E762" w14:textId="77777777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bCs w:val="0"/>
          <w:sz w:val="22"/>
          <w:szCs w:val="22"/>
        </w:rPr>
      </w:pPr>
      <w:r w:rsidRPr="004F6DB8">
        <w:rPr>
          <w:sz w:val="22"/>
          <w:szCs w:val="22"/>
        </w:rPr>
        <w:t>DEPARTAMENTO</w:t>
      </w:r>
      <w:r w:rsidRPr="004F6DB8">
        <w:rPr>
          <w:b w:val="0"/>
          <w:sz w:val="22"/>
          <w:szCs w:val="22"/>
        </w:rPr>
        <w:t xml:space="preserve">: </w:t>
      </w:r>
      <w:r w:rsidRPr="004F6DB8">
        <w:rPr>
          <w:b w:val="0"/>
          <w:bCs w:val="0"/>
          <w:sz w:val="22"/>
          <w:szCs w:val="22"/>
        </w:rPr>
        <w:t>Código según distribución geográfica del país, con el objetivo de identificar los montos asignados para cada departamento.</w:t>
      </w:r>
    </w:p>
    <w:p w14:paraId="227488E6" w14:textId="77777777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bCs w:val="0"/>
          <w:sz w:val="22"/>
          <w:szCs w:val="22"/>
        </w:rPr>
      </w:pPr>
      <w:r w:rsidRPr="004F6DB8">
        <w:rPr>
          <w:sz w:val="22"/>
          <w:szCs w:val="22"/>
        </w:rPr>
        <w:t>CATEGORÍA:</w:t>
      </w:r>
      <w:r w:rsidRPr="004F6DB8">
        <w:rPr>
          <w:b w:val="0"/>
          <w:bCs w:val="0"/>
          <w:sz w:val="22"/>
          <w:szCs w:val="22"/>
        </w:rPr>
        <w:t xml:space="preserve"> Es la categoría de contratado (SINARH), la misma se debe especificar en la columna de descripción de catálogo y es aplicable solamente a los objetos del gasto del subgrupo 140. </w:t>
      </w:r>
    </w:p>
    <w:p w14:paraId="6BB4A16A" w14:textId="6F9C6192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sz w:val="22"/>
          <w:szCs w:val="22"/>
        </w:rPr>
      </w:pPr>
      <w:r w:rsidRPr="004F6DB8">
        <w:rPr>
          <w:sz w:val="22"/>
          <w:szCs w:val="22"/>
        </w:rPr>
        <w:t>MONTO EN GUARANÍES</w:t>
      </w:r>
      <w:r w:rsidRPr="004F6DB8">
        <w:rPr>
          <w:b w:val="0"/>
          <w:sz w:val="22"/>
          <w:szCs w:val="22"/>
        </w:rPr>
        <w:t xml:space="preserve">: </w:t>
      </w:r>
      <w:r w:rsidRPr="004F6DB8">
        <w:rPr>
          <w:b w:val="0"/>
          <w:bCs w:val="0"/>
          <w:sz w:val="22"/>
          <w:szCs w:val="22"/>
        </w:rPr>
        <w:t>Cifras programadas a ejecutar en el Ejercicio Fiscal 202</w:t>
      </w:r>
      <w:r w:rsidR="00497C3C">
        <w:rPr>
          <w:b w:val="0"/>
          <w:bCs w:val="0"/>
          <w:sz w:val="22"/>
          <w:szCs w:val="22"/>
        </w:rPr>
        <w:t>7</w:t>
      </w:r>
      <w:r w:rsidRPr="004F6DB8">
        <w:rPr>
          <w:b w:val="0"/>
          <w:sz w:val="22"/>
          <w:szCs w:val="22"/>
        </w:rPr>
        <w:t xml:space="preserve">. </w:t>
      </w:r>
    </w:p>
    <w:p w14:paraId="0BA152C0" w14:textId="77777777" w:rsidR="00FD3917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bCs w:val="0"/>
          <w:sz w:val="22"/>
          <w:szCs w:val="22"/>
        </w:rPr>
      </w:pPr>
      <w:r w:rsidRPr="004F6DB8">
        <w:rPr>
          <w:sz w:val="22"/>
          <w:szCs w:val="22"/>
        </w:rPr>
        <w:t>FUNDAMENTACIÓN:</w:t>
      </w:r>
      <w:r w:rsidRPr="004F6DB8">
        <w:rPr>
          <w:b w:val="0"/>
          <w:sz w:val="22"/>
          <w:szCs w:val="22"/>
        </w:rPr>
        <w:t xml:space="preserve"> </w:t>
      </w:r>
      <w:r w:rsidRPr="004F6DB8">
        <w:rPr>
          <w:b w:val="0"/>
          <w:bCs w:val="0"/>
          <w:sz w:val="22"/>
          <w:szCs w:val="22"/>
        </w:rPr>
        <w:t xml:space="preserve">Justificar detalladamente todos los créditos presupuestarios solicitados a fin de demostrar la necesidad de los gastos programados, identificando en detalle los montos que sumados totalicen la cifra imputada en el objeto del gasto o subgrupo de gasto. </w:t>
      </w:r>
    </w:p>
    <w:p w14:paraId="46F05150" w14:textId="77777777" w:rsidR="00FD3917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bCs w:val="0"/>
          <w:sz w:val="22"/>
          <w:szCs w:val="22"/>
        </w:rPr>
      </w:pPr>
      <w:r w:rsidRPr="004F6DB8">
        <w:rPr>
          <w:b w:val="0"/>
          <w:bCs w:val="0"/>
          <w:sz w:val="22"/>
          <w:szCs w:val="22"/>
        </w:rPr>
        <w:t>Debe contener para:</w:t>
      </w:r>
    </w:p>
    <w:p w14:paraId="0C6C416F" w14:textId="77777777" w:rsidR="00FD3917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bCs w:val="0"/>
          <w:sz w:val="22"/>
          <w:szCs w:val="22"/>
        </w:rPr>
      </w:pPr>
      <w:r w:rsidRPr="004F6DB8">
        <w:rPr>
          <w:bCs w:val="0"/>
          <w:sz w:val="22"/>
          <w:szCs w:val="22"/>
          <w:u w:val="single"/>
        </w:rPr>
        <w:t>Servicios Personales</w:t>
      </w:r>
      <w:r w:rsidRPr="004F6DB8">
        <w:rPr>
          <w:bCs w:val="0"/>
          <w:sz w:val="22"/>
          <w:szCs w:val="22"/>
        </w:rPr>
        <w:t>:</w:t>
      </w:r>
      <w:r w:rsidRPr="004F6DB8">
        <w:rPr>
          <w:b w:val="0"/>
          <w:bCs w:val="0"/>
          <w:sz w:val="22"/>
          <w:szCs w:val="22"/>
        </w:rPr>
        <w:t xml:space="preserve"> información relativa a la cantidad de personal contratado o jornaleros, cantidad estimada de horas extraordinarias y adicionales previstas y números de personal afectado a otros beneficios. </w:t>
      </w:r>
    </w:p>
    <w:p w14:paraId="3016EADC" w14:textId="77777777" w:rsidR="004B0A84" w:rsidRPr="004F6DB8" w:rsidRDefault="00B615AA" w:rsidP="00FD3917">
      <w:pPr>
        <w:pStyle w:val="Textodebloque"/>
        <w:spacing w:before="120" w:after="120"/>
        <w:ind w:left="0" w:right="-81"/>
        <w:jc w:val="both"/>
        <w:rPr>
          <w:b w:val="0"/>
          <w:bCs w:val="0"/>
          <w:sz w:val="22"/>
          <w:szCs w:val="22"/>
        </w:rPr>
      </w:pPr>
      <w:r w:rsidRPr="004F6DB8">
        <w:rPr>
          <w:bCs w:val="0"/>
          <w:sz w:val="22"/>
          <w:szCs w:val="22"/>
          <w:u w:val="single"/>
        </w:rPr>
        <w:t>Otros Gastos</w:t>
      </w:r>
      <w:r w:rsidRPr="004F6DB8">
        <w:rPr>
          <w:sz w:val="22"/>
          <w:szCs w:val="22"/>
        </w:rPr>
        <w:t xml:space="preserve">: </w:t>
      </w:r>
      <w:r w:rsidRPr="004F6DB8">
        <w:rPr>
          <w:b w:val="0"/>
          <w:bCs w:val="0"/>
          <w:sz w:val="22"/>
          <w:szCs w:val="22"/>
        </w:rPr>
        <w:t>estimar</w:t>
      </w:r>
      <w:r w:rsidRPr="004F6DB8">
        <w:rPr>
          <w:sz w:val="22"/>
          <w:szCs w:val="22"/>
        </w:rPr>
        <w:t xml:space="preserve"> </w:t>
      </w:r>
      <w:r w:rsidRPr="004F6DB8">
        <w:rPr>
          <w:b w:val="0"/>
          <w:bCs w:val="0"/>
          <w:sz w:val="22"/>
          <w:szCs w:val="22"/>
        </w:rPr>
        <w:t>cantidad y precio unitario por tipo de gasto. Para esta carga se utilizará el Catálogo de Bienes y Servicios regido por la Dirección General de Contrataciones Públicas.</w:t>
      </w:r>
    </w:p>
    <w:p w14:paraId="7A3CC1DA" w14:textId="77777777" w:rsidR="004B0A84" w:rsidRPr="004F6DB8" w:rsidRDefault="004B0A84" w:rsidP="00FD3917">
      <w:pPr>
        <w:spacing w:before="120" w:after="120"/>
        <w:rPr>
          <w:sz w:val="22"/>
          <w:szCs w:val="22"/>
        </w:rPr>
      </w:pPr>
    </w:p>
    <w:sectPr w:rsidR="004B0A84" w:rsidRPr="004F6DB8" w:rsidSect="00FD3917">
      <w:headerReference w:type="default" r:id="rId7"/>
      <w:footerReference w:type="default" r:id="rId8"/>
      <w:pgSz w:w="12240" w:h="15840"/>
      <w:pgMar w:top="1952" w:right="1041" w:bottom="426" w:left="1418" w:header="426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B6F0E" w14:textId="77777777" w:rsidR="0009640A" w:rsidRDefault="0009640A">
      <w:r>
        <w:separator/>
      </w:r>
    </w:p>
  </w:endnote>
  <w:endnote w:type="continuationSeparator" w:id="0">
    <w:p w14:paraId="79578C20" w14:textId="77777777" w:rsidR="0009640A" w:rsidRDefault="000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E4313" w14:textId="77777777" w:rsidR="004B0A84" w:rsidRDefault="004B0A84">
    <w:pPr>
      <w:pStyle w:val="Piedepgina"/>
      <w:jc w:val="right"/>
    </w:pPr>
  </w:p>
  <w:p w14:paraId="657FFFC6" w14:textId="77777777" w:rsidR="004B0A84" w:rsidRDefault="004B0A8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104EC" w14:textId="77777777" w:rsidR="0009640A" w:rsidRDefault="0009640A">
      <w:r>
        <w:separator/>
      </w:r>
    </w:p>
  </w:footnote>
  <w:footnote w:type="continuationSeparator" w:id="0">
    <w:p w14:paraId="1B11CB7A" w14:textId="77777777" w:rsidR="0009640A" w:rsidRDefault="0009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D3717" w14:textId="77777777" w:rsidR="007D3457" w:rsidRDefault="007D3457" w:rsidP="00FD3917">
    <w:pPr>
      <w:pStyle w:val="Encabezado"/>
      <w:ind w:left="-709"/>
      <w:jc w:val="center"/>
      <w:rPr>
        <w:noProof/>
      </w:rPr>
    </w:pPr>
  </w:p>
  <w:p w14:paraId="230A4A45" w14:textId="5024C8EE" w:rsidR="004B0A84" w:rsidRDefault="00ED3CE2" w:rsidP="00FD3917">
    <w:pPr>
      <w:pStyle w:val="Encabezado"/>
      <w:ind w:left="-709"/>
      <w:jc w:val="center"/>
    </w:pPr>
    <w:r>
      <w:rPr>
        <w:noProof/>
      </w:rPr>
      <w:drawing>
        <wp:inline distT="0" distB="0" distL="0" distR="0" wp14:anchorId="01985CE3" wp14:editId="51F8C830">
          <wp:extent cx="2402205" cy="1028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227"/>
                  <a:stretch/>
                </pic:blipFill>
                <pic:spPr bwMode="auto">
                  <a:xfrm>
                    <a:off x="0" y="0"/>
                    <a:ext cx="240220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A84"/>
    <w:rsid w:val="000414C1"/>
    <w:rsid w:val="00050351"/>
    <w:rsid w:val="00054709"/>
    <w:rsid w:val="0009640A"/>
    <w:rsid w:val="002961ED"/>
    <w:rsid w:val="002A02D6"/>
    <w:rsid w:val="0043015B"/>
    <w:rsid w:val="00497C3C"/>
    <w:rsid w:val="004B0A84"/>
    <w:rsid w:val="004F6DB8"/>
    <w:rsid w:val="007D3457"/>
    <w:rsid w:val="00A7410D"/>
    <w:rsid w:val="00B615AA"/>
    <w:rsid w:val="00CB17D7"/>
    <w:rsid w:val="00D00DB0"/>
    <w:rsid w:val="00D26921"/>
    <w:rsid w:val="00DA04C0"/>
    <w:rsid w:val="00ED3CE2"/>
    <w:rsid w:val="00FD3917"/>
    <w:rsid w:val="00FE2157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FBF59"/>
  <w15:docId w15:val="{01DF05A4-A3AD-466E-9C83-C4AF2ED1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es-PY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0D2"/>
    <w:rPr>
      <w:rFonts w:ascii="Times New Roman" w:eastAsia="Times New Roman" w:hAnsi="Times New Roman" w:cs="Times New Roman"/>
      <w:kern w:val="0"/>
      <w:sz w:val="20"/>
      <w:szCs w:val="20"/>
      <w:lang w:val="es-ES_tradnl" w:eastAsia="es-ES" w:bidi="ar-SA"/>
    </w:rPr>
  </w:style>
  <w:style w:type="paragraph" w:styleId="Ttulo1">
    <w:name w:val="heading 1"/>
    <w:basedOn w:val="Normal"/>
    <w:next w:val="Normal"/>
    <w:qFormat/>
    <w:rsid w:val="00B350D2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B350D2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350D2"/>
    <w:pPr>
      <w:keepNext/>
      <w:ind w:left="3545" w:hanging="1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B350D2"/>
    <w:pPr>
      <w:keepNext/>
      <w:ind w:left="3545" w:hanging="1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B350D2"/>
    <w:pPr>
      <w:keepNext/>
      <w:ind w:right="-12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rsid w:val="00B350D2"/>
    <w:pPr>
      <w:keepNext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rsid w:val="00B350D2"/>
    <w:pPr>
      <w:keepNext/>
      <w:ind w:left="4963" w:firstLine="566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qFormat/>
    <w:rsid w:val="00B350D2"/>
    <w:pPr>
      <w:keepNext/>
      <w:ind w:left="4963" w:firstLine="709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B350D2"/>
    <w:pPr>
      <w:keepNext/>
      <w:jc w:val="both"/>
      <w:outlineLvl w:val="8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B350D2"/>
    <w:rPr>
      <w:color w:val="0000FF"/>
      <w:u w:val="single"/>
    </w:rPr>
  </w:style>
  <w:style w:type="character" w:customStyle="1" w:styleId="FootnoteCharacters">
    <w:name w:val="Footnote Characters"/>
    <w:basedOn w:val="Fuentedeprrafopredeter"/>
    <w:semiHidden/>
    <w:qFormat/>
    <w:rsid w:val="00B350D2"/>
  </w:style>
  <w:style w:type="character" w:customStyle="1" w:styleId="Fuentedeencabezadopredeter">
    <w:name w:val="Fuente de encabezado predeter."/>
    <w:qFormat/>
    <w:rsid w:val="00B350D2"/>
  </w:style>
  <w:style w:type="character" w:styleId="Nmerodepgina">
    <w:name w:val="page number"/>
    <w:basedOn w:val="Fuentedeprrafopredeter"/>
    <w:qFormat/>
    <w:rsid w:val="001653BD"/>
  </w:style>
  <w:style w:type="character" w:customStyle="1" w:styleId="Ancladenotafinal">
    <w:name w:val="Ancla de nota final"/>
    <w:rPr>
      <w:rFonts w:ascii="Arial" w:hAnsi="Arial" w:cs="Arial"/>
      <w:sz w:val="24"/>
      <w:szCs w:val="24"/>
      <w:vertAlign w:val="superscript"/>
      <w:lang w:val="en-US"/>
    </w:rPr>
  </w:style>
  <w:style w:type="character" w:customStyle="1" w:styleId="EndnoteCharacters">
    <w:name w:val="Endnote Characters"/>
    <w:semiHidden/>
    <w:qFormat/>
    <w:rsid w:val="00EC59BF"/>
    <w:rPr>
      <w:rFonts w:ascii="Arial" w:hAnsi="Arial" w:cs="Arial"/>
      <w:sz w:val="24"/>
      <w:szCs w:val="24"/>
      <w:vertAlign w:val="superscript"/>
      <w:lang w:val="en-US"/>
    </w:rPr>
  </w:style>
  <w:style w:type="character" w:customStyle="1" w:styleId="SangradetextonormalCar">
    <w:name w:val="Sangría de texto normal Car"/>
    <w:link w:val="Sangradetextonormal"/>
    <w:qFormat/>
    <w:rsid w:val="009543C9"/>
    <w:rPr>
      <w:rFonts w:ascii="Arial" w:hAnsi="Arial"/>
      <w:sz w:val="24"/>
      <w:lang w:val="es-ES_tradnl" w:eastAsia="es-ES"/>
    </w:rPr>
  </w:style>
  <w:style w:type="character" w:customStyle="1" w:styleId="textobold">
    <w:name w:val="texto_bold"/>
    <w:basedOn w:val="Fuentedeprrafopredeter"/>
    <w:qFormat/>
    <w:rsid w:val="00995176"/>
  </w:style>
  <w:style w:type="character" w:styleId="Textoennegrita">
    <w:name w:val="Strong"/>
    <w:uiPriority w:val="22"/>
    <w:qFormat/>
    <w:rsid w:val="00995176"/>
    <w:rPr>
      <w:b/>
      <w:bCs/>
    </w:rPr>
  </w:style>
  <w:style w:type="character" w:customStyle="1" w:styleId="TextodegloboCar">
    <w:name w:val="Texto de globo Car"/>
    <w:link w:val="Textodeglobo"/>
    <w:qFormat/>
    <w:rsid w:val="00947512"/>
    <w:rPr>
      <w:rFonts w:ascii="Tahoma" w:hAnsi="Tahoma" w:cs="Tahoma"/>
      <w:sz w:val="16"/>
      <w:szCs w:val="16"/>
      <w:lang w:val="es-ES_tradnl" w:eastAsia="es-ES"/>
    </w:rPr>
  </w:style>
  <w:style w:type="character" w:customStyle="1" w:styleId="PiedepginaCar">
    <w:name w:val="Pie de página Car"/>
    <w:link w:val="Piedepgina"/>
    <w:uiPriority w:val="99"/>
    <w:qFormat/>
    <w:rsid w:val="006832E3"/>
    <w:rPr>
      <w:lang w:val="es-ES_tradnl" w:eastAsia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301072"/>
    <w:rPr>
      <w:lang w:val="es-ES_tradnl" w:eastAsia="es-ES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B350D2"/>
    <w:pPr>
      <w:jc w:val="both"/>
    </w:pPr>
    <w:rPr>
      <w:rFonts w:ascii="Arial" w:hAnsi="Arial"/>
      <w:sz w:val="24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angradetextonormal">
    <w:name w:val="Body Text Indent"/>
    <w:basedOn w:val="Normal"/>
    <w:link w:val="SangradetextonormalCar"/>
    <w:rsid w:val="00B350D2"/>
    <w:pPr>
      <w:ind w:firstLine="2124"/>
      <w:jc w:val="both"/>
    </w:pPr>
    <w:rPr>
      <w:rFonts w:ascii="Arial" w:hAnsi="Arial"/>
      <w:sz w:val="24"/>
    </w:rPr>
  </w:style>
  <w:style w:type="paragraph" w:styleId="Sangra2detindependiente">
    <w:name w:val="Body Text Indent 2"/>
    <w:basedOn w:val="Normal"/>
    <w:qFormat/>
    <w:rsid w:val="00B350D2"/>
    <w:pPr>
      <w:ind w:firstLine="709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qFormat/>
    <w:rsid w:val="00B350D2"/>
    <w:pPr>
      <w:tabs>
        <w:tab w:val="left" w:pos="3402"/>
      </w:tabs>
      <w:ind w:left="3540" w:hanging="138"/>
    </w:pPr>
    <w:rPr>
      <w:rFonts w:ascii="Arial" w:hAnsi="Arial"/>
      <w:b/>
      <w:sz w:val="24"/>
    </w:rPr>
  </w:style>
  <w:style w:type="paragraph" w:styleId="Textoindependiente2">
    <w:name w:val="Body Text 2"/>
    <w:basedOn w:val="Normal"/>
    <w:qFormat/>
    <w:rsid w:val="00B350D2"/>
    <w:pPr>
      <w:jc w:val="both"/>
    </w:pPr>
    <w:rPr>
      <w:rFonts w:ascii="Arial" w:hAnsi="Arial"/>
      <w:sz w:val="22"/>
      <w:lang w:val="es-AR"/>
    </w:rPr>
  </w:style>
  <w:style w:type="paragraph" w:styleId="Textoindependiente3">
    <w:name w:val="Body Text 3"/>
    <w:basedOn w:val="Normal"/>
    <w:qFormat/>
    <w:rsid w:val="00B350D2"/>
    <w:pPr>
      <w:jc w:val="both"/>
    </w:pPr>
    <w:rPr>
      <w:rFonts w:ascii="Arial" w:hAnsi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B350D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B350D2"/>
    <w:pPr>
      <w:tabs>
        <w:tab w:val="center" w:pos="4419"/>
        <w:tab w:val="right" w:pos="8838"/>
      </w:tabs>
    </w:pPr>
  </w:style>
  <w:style w:type="paragraph" w:customStyle="1" w:styleId="Textodenotaalfinal">
    <w:name w:val="Texto de nota al final"/>
    <w:basedOn w:val="Normal"/>
    <w:qFormat/>
    <w:rsid w:val="00B350D2"/>
    <w:pPr>
      <w:widowControl w:val="0"/>
    </w:pPr>
    <w:rPr>
      <w:rFonts w:ascii="Courier" w:hAnsi="Courier"/>
      <w:sz w:val="24"/>
      <w:lang w:val="es-ES"/>
    </w:rPr>
  </w:style>
  <w:style w:type="paragraph" w:styleId="NormalWeb">
    <w:name w:val="Normal (Web)"/>
    <w:basedOn w:val="Normal"/>
    <w:uiPriority w:val="99"/>
    <w:unhideWhenUsed/>
    <w:qFormat/>
    <w:rsid w:val="00995176"/>
    <w:pPr>
      <w:spacing w:beforeAutospacing="1" w:afterAutospacing="1"/>
    </w:pPr>
    <w:rPr>
      <w:sz w:val="24"/>
      <w:szCs w:val="24"/>
      <w:lang w:val="es-PY" w:eastAsia="es-PY"/>
    </w:rPr>
  </w:style>
  <w:style w:type="paragraph" w:styleId="Textodeglobo">
    <w:name w:val="Balloon Text"/>
    <w:basedOn w:val="Normal"/>
    <w:link w:val="TextodegloboCar"/>
    <w:qFormat/>
    <w:rsid w:val="00947512"/>
    <w:rPr>
      <w:rFonts w:ascii="Tahoma" w:hAnsi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1459CD"/>
    <w:pPr>
      <w:ind w:left="720"/>
      <w:contextualSpacing/>
    </w:pPr>
  </w:style>
  <w:style w:type="paragraph" w:styleId="Textodebloque">
    <w:name w:val="Block Text"/>
    <w:basedOn w:val="Normal"/>
    <w:qFormat/>
    <w:rsid w:val="00887391"/>
    <w:pPr>
      <w:ind w:left="-900" w:right="-882"/>
    </w:pPr>
    <w:rPr>
      <w:b/>
      <w:bCs/>
      <w:sz w:val="28"/>
      <w:szCs w:val="28"/>
      <w:lang w:val="es-ES"/>
    </w:rPr>
  </w:style>
  <w:style w:type="table" w:styleId="Tablaconcuadrcula">
    <w:name w:val="Table Grid"/>
    <w:basedOn w:val="Tablanormal"/>
    <w:rsid w:val="0067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B40EA-D0D2-417F-B370-EA15CFA6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HACIENDA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Ayala</dc:creator>
  <dc:description/>
  <cp:lastModifiedBy>Maria Veronica Rojas Vera</cp:lastModifiedBy>
  <cp:revision>20</cp:revision>
  <cp:lastPrinted>2020-04-27T21:53:00Z</cp:lastPrinted>
  <dcterms:created xsi:type="dcterms:W3CDTF">2020-04-27T18:42:00Z</dcterms:created>
  <dcterms:modified xsi:type="dcterms:W3CDTF">2026-04-16T19:31:00Z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MINISTERIO DE HACIENDA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