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777" w:rsidRDefault="00C27777" w:rsidP="00C27777">
      <w:pPr>
        <w:spacing w:after="240"/>
        <w:jc w:val="center"/>
      </w:pPr>
      <w:r>
        <w:rPr>
          <w:b/>
          <w:bCs/>
        </w:rPr>
        <w:t>FACTURACIÓN ELECTRÓNICA Y DIGITALIZACIÓN TRIBUTARIA EN EMPRESAS PARAGUAYAS. AÑO 2026</w:t>
      </w:r>
    </w:p>
    <w:p w:rsidR="00C27777" w:rsidRDefault="00C27777" w:rsidP="00C27777">
      <w:pPr>
        <w:spacing w:before="100" w:after="100"/>
        <w:jc w:val="both"/>
      </w:pPr>
      <w:bookmarkStart w:id="0" w:name="_GoBack"/>
      <w:bookmarkEnd w:id="0"/>
      <w:r>
        <w:rPr>
          <w:b/>
          <w:bCs/>
        </w:rPr>
        <w:t>RESUMEN</w:t>
      </w:r>
    </w:p>
    <w:p w:rsidR="00C27777" w:rsidRDefault="00C27777" w:rsidP="00C27777">
      <w:pPr>
        <w:ind w:right="240"/>
        <w:jc w:val="both"/>
      </w:pPr>
      <w:r>
        <w:t>En el marco de la implementación progresiva del Sistema Integrado de Facturación Electrónica Nacional (SIFEN), creado mediante el Decreto N.º 7795 del 27 de septiembre de 2017 e impulsado inicialmente por la entonces Subsecretaría de Estado de Tributación (SET), cuyas competencias asumió posteriormente la Dirección Nacional de Ingresos Tributarios (DNIT), esta investigación analiza el nivel de adopción, implementación y percepción de beneficios y barreras de la facturación electrónica en una muestra de empresas paraguayas. Para ello se empleó un diseño cuantitativo, descriptivo y de corte transversal, con una encuesta estructurada de escala Likert aplicada a una muestra no probabilística de 205 empresas. Los resultados revelaron una tasa de adopción del 84,4%, motivada principalmente por la exigencia legal (44,8%) y la búsqueda de eficiencia administrativa (35,5%). La media global de los beneficios percibidos es de 4,40/5, con el cumplimiento tributario como el aspecto más valorado (4,62). La media global de las barreras es de 3,16/5, siendo la más crítica la conectividad a internet (3,80). El 85,0% de las empresas consultadas seguiría utilizando el sistema incluso sin la obligación legal, lo que sugiere que el SIFEN ha ganado la confianza de sus usuarios activos. La implementación presenta diferencias marcadas según el tamaño empresarial: las grandes y medianas superan el 96%, mientras que las microempresas alcanzan apenas el 62,3%. Esto muestra que el sistema se ha consolidado principalmente en empresas más desarrolladas y formalizadas, mientras que las de menor tamaño permanecen, en su mayoría, fuera de su alcance. Estos resultados evidencian como principales desafíos de política pública: superar los problemas de conectividad a internet e incorporar a los negocios de menor escala mediante capacitación y acompañamiento.</w:t>
      </w:r>
    </w:p>
    <w:p w:rsidR="00FB126D" w:rsidRDefault="00FB126D"/>
    <w:sectPr w:rsidR="00FB12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777"/>
    <w:rsid w:val="00003876"/>
    <w:rsid w:val="00C27777"/>
    <w:rsid w:val="00FB126D"/>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72EABB-2904-450E-AEFA-6DBA169B6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27777"/>
    <w:pPr>
      <w:spacing w:after="0" w:line="240" w:lineRule="auto"/>
    </w:pPr>
    <w:rPr>
      <w:rFonts w:ascii="Times New Roman" w:eastAsia="Times New Roman" w:hAnsi="Times New Roman" w:cs="Times New Roman"/>
      <w:sz w:val="24"/>
      <w:szCs w:val="24"/>
      <w:lang w:eastAsia="es-P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1649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MARIA PALACIOS</dc:creator>
  <cp:keywords/>
  <dc:description/>
  <cp:lastModifiedBy>GERDA MARIA PALACIOS</cp:lastModifiedBy>
  <cp:revision>1</cp:revision>
  <dcterms:created xsi:type="dcterms:W3CDTF">2026-08-15T17:29:00Z</dcterms:created>
  <dcterms:modified xsi:type="dcterms:W3CDTF">2026-08-15T17:30:00Z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74ac0d7e-36a1-4ada-8e30-5e374387060b</vt:lpwstr>
  </property>
</Properties>
</file>