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b/>
          <w:bCs/>
          <w:sz w:val="28"/>
          <w:szCs w:val="28"/>
        </w:rPr>
        <w:t xml:space="preserve">Gestión, Mitigación y Renovación de Equipos Tecnológicos en Condición de End of Life en Instituciones Públicas: Una Revisión de Literatura sobre Mejores Prácticas bajo Restricciones Presupuestarias y Administrativas</w:t>
      </w:r>
    </w:p>
    <w:p>
      <w:pPr>
        <w:spacing w:after="40"/>
        <w:jc w:val="center"/>
      </w:pPr>
      <w:r>
        <w:rPr>
          <w:sz w:val="24"/>
          <w:szCs w:val="24"/>
        </w:rPr>
        <w:t xml:space="preserve">César Lezcano Villanueva</w:t>
      </w:r>
    </w:p>
    <w:p>
      <w:pPr>
        <w:spacing w:after="320"/>
        <w:jc w:val="center"/>
      </w:pPr>
      <w:r>
        <w:rPr>
          <w:i/>
          <w:iCs/>
          <w:sz w:val="22"/>
          <w:szCs w:val="22"/>
        </w:rPr>
        <w:t xml:space="preserve">Universidad Nacional de Asunción (UNA); Universidad Nacional de Itapúa (UNI)</w:t>
      </w:r>
    </w:p>
    <w:p>
      <w:pPr>
        <w:spacing w:after="120"/>
      </w:pPr>
      <w:r>
        <w:rPr>
          <w:b/>
          <w:bCs/>
          <w:sz w:val="26"/>
          <w:szCs w:val="26"/>
        </w:rPr>
        <w:t xml:space="preserve">Resumen</w:t>
      </w:r>
    </w:p>
    <w:p>
      <w:pPr>
        <w:spacing w:after="240" w:line="276"/>
        <w:jc w:val="both"/>
      </w:pPr>
      <w:r>
        <w:rPr>
          <w:sz w:val="24"/>
          <w:szCs w:val="24"/>
        </w:rPr>
        <w:t xml:space="preserve">La gestión del ciclo de vida de activos tecnológicos representa un desafío crítico para las instituciones públicas, particularmente cuando los equipos alcanzan condiciones de End of Life (EOL), End of Support (EOS) o End of Service Life (EOSL). Esta revisión de literatura examina las mejores prácticas internacionales para gestionar, mitigar y renovar equipos obsoletos en contextos institucionales caracterizados por restricciones presupuestarias, limitaciones administrativas y procesos de contratación pública complejos. El análisis integra marcos normativos reconocidos (NIST Cybersecurity Framework 2.0, CIS Controls v8, ISO/IEC 27001/27002) con literatura especializada en gestión de activos, obsolescencia tecnológica, continuidad operativa y transformación digital gubernamental. Los hallazgos revelan que la gestión efectiva de equipos EOL/EOS/EOSL requiere un enfoque sistémico que trasciende la simple renovación tecnológica, incorporando gobernanza institucional robusta, priorización basada en riesgos, controles compensatorios temporales, planificación plurianual y articulación efectiva entre áreas técnicas, administrativas y directivas. La revisión identifica barreras institucionales específicas del sector público latinoamericano y propone estrategias adaptativas aplicables a organismos con autonomía presupuestaria limitada. Las implicancias para instituciones paraguayas sugieren la necesidad de desarrollar protocolos formales de gestión de obsolescencia, matrices de criticidad de activos, mecanismos de aceptación documentada de riesgo residual y fortalecimiento de la articulación entre direcciones TIC, áreas de seguridad de la información, unidades administrativas y autoridades superiores.</w:t>
      </w:r>
    </w:p>
    <w:p>
      <w:pPr>
        <w:spacing w:line="276"/>
        <w:jc w:val="both"/>
      </w:pPr>
      <w:r>
        <w:rPr>
          <w:b/>
          <w:bCs/>
          <w:sz w:val="24"/>
          <w:szCs w:val="24"/>
        </w:rPr>
        <w:t xml:space="preserve">Palabras clave: </w:t>
      </w:r>
      <w:r>
        <w:rPr>
          <w:sz w:val="24"/>
          <w:szCs w:val="24"/>
        </w:rPr>
        <w:t xml:space="preserve">End of Life, gestión de activos tecnológicos, obsolescencia tecnológica, sector público, contratación pública, ciberseguridad, sistemas legacy.</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2026-06-23T20:01:58.419Z</dcterms:created>
  <dcterms:modified xsi:type="dcterms:W3CDTF">2026-06-23T20:01:58.434Z</dcterms:modified>
</cp:coreProperties>
</file>

<file path=docProps/custom.xml><?xml version="1.0" encoding="utf-8"?>
<Properties xmlns="http://schemas.openxmlformats.org/officeDocument/2006/custom-properties" xmlns:vt="http://schemas.openxmlformats.org/officeDocument/2006/docPropsVTypes"/>
</file>